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0E" w:rsidRDefault="00DA7C6D" w:rsidP="00DA7C6D">
      <w:pPr>
        <w:jc w:val="center"/>
      </w:pPr>
      <w:r>
        <w:rPr>
          <w:noProof/>
          <w:lang w:bidi="ar-SA"/>
        </w:rPr>
        <w:drawing>
          <wp:inline distT="0" distB="0" distL="0" distR="0" wp14:anchorId="1F5E7B69">
            <wp:extent cx="77152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4E0E" w:rsidRPr="00A84E0E" w:rsidRDefault="00A84E0E" w:rsidP="00A84E0E"/>
    <w:p w:rsidR="00A84E0E" w:rsidRPr="00182A69" w:rsidRDefault="00A84E0E" w:rsidP="00A84E0E">
      <w:pPr>
        <w:pStyle w:val="10"/>
        <w:shd w:val="clear" w:color="auto" w:fill="auto"/>
        <w:ind w:right="40"/>
        <w:rPr>
          <w:rFonts w:ascii="Times New Roman" w:hAnsi="Times New Roman" w:cs="Times New Roman"/>
        </w:rPr>
      </w:pPr>
      <w:r w:rsidRPr="00182A69">
        <w:rPr>
          <w:rFonts w:ascii="Times New Roman" w:hAnsi="Times New Roman" w:cs="Times New Roman"/>
        </w:rPr>
        <w:t>Республика Бурятия</w:t>
      </w:r>
    </w:p>
    <w:p w:rsidR="00A84E0E" w:rsidRDefault="00A84E0E" w:rsidP="00A84E0E">
      <w:pPr>
        <w:pStyle w:val="10"/>
        <w:shd w:val="clear" w:color="auto" w:fill="auto"/>
        <w:ind w:right="40"/>
        <w:rPr>
          <w:rFonts w:ascii="Times New Roman" w:hAnsi="Times New Roman" w:cs="Times New Roman"/>
        </w:rPr>
      </w:pPr>
      <w:bookmarkStart w:id="0" w:name="bookmark1"/>
      <w:r w:rsidRPr="00182A69">
        <w:rPr>
          <w:rFonts w:ascii="Times New Roman" w:hAnsi="Times New Roman" w:cs="Times New Roman"/>
        </w:rPr>
        <w:t>Совет депутатов муниципального образования</w:t>
      </w:r>
      <w:r w:rsidRPr="00182A69">
        <w:rPr>
          <w:rFonts w:ascii="Times New Roman" w:hAnsi="Times New Roman" w:cs="Times New Roman"/>
        </w:rPr>
        <w:br/>
        <w:t>«Хоринский район»</w:t>
      </w:r>
      <w:bookmarkEnd w:id="0"/>
    </w:p>
    <w:p w:rsidR="00A84E0E" w:rsidRPr="00182A69" w:rsidRDefault="00A84E0E" w:rsidP="00A84E0E">
      <w:pPr>
        <w:pStyle w:val="10"/>
        <w:shd w:val="clear" w:color="auto" w:fill="auto"/>
        <w:ind w:right="4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A84E0E" w:rsidRPr="00182A69" w:rsidTr="00AA113C">
        <w:tc>
          <w:tcPr>
            <w:tcW w:w="3095" w:type="dxa"/>
            <w:tcBorders>
              <w:bottom w:val="thinThickSmallGap" w:sz="24" w:space="0" w:color="auto"/>
            </w:tcBorders>
          </w:tcPr>
          <w:p w:rsidR="00A84E0E" w:rsidRPr="00182A69" w:rsidRDefault="00A84E0E" w:rsidP="00A84E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2A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671410,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182A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с. Хоринск</w:t>
            </w:r>
          </w:p>
          <w:p w:rsidR="00A84E0E" w:rsidRPr="00182A69" w:rsidRDefault="00A84E0E" w:rsidP="00A84E0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2A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A84E0E" w:rsidRPr="00182A69" w:rsidRDefault="00A84E0E" w:rsidP="00A84E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A84E0E" w:rsidRPr="00182A69" w:rsidRDefault="00A84E0E" w:rsidP="00A84E0E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82A6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Тел.(8 -30148) 23-219</w:t>
            </w:r>
          </w:p>
        </w:tc>
      </w:tr>
    </w:tbl>
    <w:p w:rsidR="00A84E0E" w:rsidRPr="002A36FE" w:rsidRDefault="00A84E0E" w:rsidP="002A36FE">
      <w:pPr>
        <w:pStyle w:val="40"/>
        <w:shd w:val="clear" w:color="auto" w:fill="auto"/>
        <w:spacing w:before="0" w:after="337" w:line="280" w:lineRule="exact"/>
        <w:ind w:right="40"/>
        <w:jc w:val="right"/>
      </w:pPr>
    </w:p>
    <w:p w:rsidR="00A84E0E" w:rsidRDefault="00A84E0E" w:rsidP="00A84E0E">
      <w:pPr>
        <w:pStyle w:val="40"/>
        <w:shd w:val="clear" w:color="auto" w:fill="auto"/>
        <w:spacing w:before="0" w:after="337" w:line="280" w:lineRule="exact"/>
        <w:ind w:right="40"/>
      </w:pPr>
      <w:r>
        <w:t>ПОСТАНОВЛЕНИЕ</w:t>
      </w:r>
    </w:p>
    <w:p w:rsidR="00A84E0E" w:rsidRDefault="002A36FE" w:rsidP="00A84E0E">
      <w:pPr>
        <w:pStyle w:val="50"/>
        <w:shd w:val="clear" w:color="auto" w:fill="auto"/>
        <w:tabs>
          <w:tab w:val="left" w:pos="6793"/>
        </w:tabs>
        <w:spacing w:before="0" w:after="308" w:line="280" w:lineRule="exact"/>
        <w:ind w:left="3840"/>
      </w:pPr>
      <w:r>
        <w:t xml:space="preserve">       №1-51/23 </w:t>
      </w:r>
      <w:r>
        <w:tab/>
        <w:t xml:space="preserve">      15 июня</w:t>
      </w:r>
      <w:r w:rsidR="00A84E0E">
        <w:t xml:space="preserve"> 2023 года</w:t>
      </w:r>
    </w:p>
    <w:p w:rsidR="009127A2" w:rsidRDefault="00A84E0E" w:rsidP="009127A2">
      <w:pPr>
        <w:pStyle w:val="60"/>
        <w:shd w:val="clear" w:color="auto" w:fill="auto"/>
        <w:spacing w:before="0" w:after="0" w:line="240" w:lineRule="auto"/>
        <w:jc w:val="center"/>
      </w:pPr>
      <w:r>
        <w:t xml:space="preserve">Об утверждении схемы многомандатных избирательных округов для проведения выборов депутатов Совета депутатов муниципального образования «Хоринский район» </w:t>
      </w:r>
    </w:p>
    <w:p w:rsidR="00A84E0E" w:rsidRDefault="00A84E0E" w:rsidP="009127A2">
      <w:pPr>
        <w:pStyle w:val="60"/>
        <w:shd w:val="clear" w:color="auto" w:fill="auto"/>
        <w:spacing w:before="0" w:after="0" w:line="240" w:lineRule="auto"/>
        <w:jc w:val="center"/>
      </w:pPr>
      <w:r>
        <w:t>Республики Бурятия</w:t>
      </w:r>
    </w:p>
    <w:p w:rsidR="009127A2" w:rsidRDefault="009127A2" w:rsidP="009127A2">
      <w:pPr>
        <w:pStyle w:val="60"/>
        <w:shd w:val="clear" w:color="auto" w:fill="auto"/>
        <w:spacing w:before="0" w:after="0" w:line="240" w:lineRule="auto"/>
        <w:jc w:val="center"/>
      </w:pPr>
    </w:p>
    <w:p w:rsidR="00A84E0E" w:rsidRPr="001A56CE" w:rsidRDefault="00A84E0E" w:rsidP="00A84E0E">
      <w:pPr>
        <w:pStyle w:val="50"/>
        <w:shd w:val="clear" w:color="auto" w:fill="auto"/>
        <w:spacing w:before="0" w:after="0" w:line="322" w:lineRule="exact"/>
        <w:ind w:firstLine="780"/>
        <w:rPr>
          <w:b/>
        </w:rPr>
      </w:pPr>
      <w:r>
        <w:t>Рассмотрев предложенную территориальной избирательной комиссие</w:t>
      </w:r>
      <w:bookmarkStart w:id="1" w:name="_GoBack"/>
      <w:bookmarkEnd w:id="1"/>
      <w:r>
        <w:t xml:space="preserve">й муниципального образования «Хоринский район» Республики Бурятия схему </w:t>
      </w:r>
      <w:r w:rsidRPr="00182A69">
        <w:t>многомандатных избирательных округов,</w:t>
      </w:r>
      <w:r>
        <w:t xml:space="preserve"> руководствуясь </w:t>
      </w:r>
      <w:r w:rsidRPr="00182A69">
        <w:t>статьей 18 Федерального закона от 12.06.2002г. №67-ФЗ «Об основных гарантиях избирательных прав и права на участие в референдуме граждан Российской Федерации», статьей 9 Закона Республики Бурятия от 17.09.2003 № 419-</w:t>
      </w:r>
      <w:r w:rsidRPr="00182A69">
        <w:rPr>
          <w:lang w:val="en-US"/>
        </w:rPr>
        <w:t>III</w:t>
      </w:r>
      <w:r w:rsidRPr="00182A69">
        <w:t xml:space="preserve"> «О выборах депутатов представительного органа муниципального образования в Республике Бурятия»</w:t>
      </w:r>
      <w:r>
        <w:t>,</w:t>
      </w:r>
      <w:r w:rsidR="000932B8">
        <w:t xml:space="preserve"> ст. 9, 23 Устава муниципального образования «Хоринский район», </w:t>
      </w:r>
      <w:r>
        <w:t xml:space="preserve">Совет депутатов муниципального образования «Хоринский район» </w:t>
      </w:r>
      <w:r w:rsidRPr="001A56CE">
        <w:rPr>
          <w:b/>
        </w:rPr>
        <w:t>постановляет:</w:t>
      </w:r>
    </w:p>
    <w:p w:rsidR="00A84E0E" w:rsidRDefault="00A84E0E" w:rsidP="00A84E0E">
      <w:pPr>
        <w:pStyle w:val="50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322" w:lineRule="exact"/>
        <w:ind w:firstLine="780"/>
      </w:pPr>
      <w:r>
        <w:t>Утвердить схему многомандатных избирательных округов для проведения выборов депутатов Совета депутатов муниципального образования «Хоринский район» Республики Бурятия в соответствии с Уставом муниципального образования «Хоринский район» согласно приложению.</w:t>
      </w:r>
    </w:p>
    <w:p w:rsidR="00A84E0E" w:rsidRPr="006B5E2C" w:rsidRDefault="00A84E0E" w:rsidP="00A84E0E">
      <w:pPr>
        <w:pStyle w:val="60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322" w:lineRule="exact"/>
        <w:ind w:firstLine="780"/>
        <w:jc w:val="both"/>
        <w:rPr>
          <w:b w:val="0"/>
        </w:rPr>
      </w:pPr>
      <w:r w:rsidRPr="006B5E2C">
        <w:rPr>
          <w:b w:val="0"/>
          <w:sz w:val="28"/>
          <w:szCs w:val="28"/>
        </w:rPr>
        <w:t>Признать утратившим силу постановление Совета депутатов МО «Хоринский район» от 03.05.2018г. № 4-46/18 «Об утверждении схемы одномандатных избирательных округов для проведения выборов депутатов Совета депутатов муниципального образования «Хоринский район» Республики Бурятия.</w:t>
      </w:r>
    </w:p>
    <w:p w:rsidR="00A84E0E" w:rsidRDefault="00A84E0E" w:rsidP="00A84E0E">
      <w:pPr>
        <w:pStyle w:val="50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322" w:lineRule="exact"/>
        <w:ind w:firstLine="780"/>
      </w:pPr>
      <w:r>
        <w:t>Опубликовать настоящее постановление в районной газете «Удинская новь».</w:t>
      </w:r>
    </w:p>
    <w:p w:rsidR="00A84E0E" w:rsidRDefault="00A84E0E" w:rsidP="00A84E0E">
      <w:pPr>
        <w:pStyle w:val="50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322" w:lineRule="exact"/>
        <w:ind w:firstLine="780"/>
      </w:pPr>
      <w:r>
        <w:t xml:space="preserve">Настоящее постановление вступает в силу со дня его </w:t>
      </w:r>
      <w:r w:rsidR="009D48E2">
        <w:t>принятия</w:t>
      </w:r>
      <w:r>
        <w:t>.</w:t>
      </w:r>
    </w:p>
    <w:p w:rsidR="00A84E0E" w:rsidRDefault="00A84E0E" w:rsidP="00A84E0E">
      <w:pPr>
        <w:pStyle w:val="50"/>
        <w:shd w:val="clear" w:color="auto" w:fill="auto"/>
        <w:tabs>
          <w:tab w:val="left" w:pos="1443"/>
        </w:tabs>
        <w:spacing w:before="0" w:after="0" w:line="322" w:lineRule="exact"/>
      </w:pPr>
    </w:p>
    <w:p w:rsidR="00A84E0E" w:rsidRDefault="00A84E0E" w:rsidP="00A84E0E">
      <w:pPr>
        <w:pStyle w:val="50"/>
        <w:shd w:val="clear" w:color="auto" w:fill="auto"/>
        <w:tabs>
          <w:tab w:val="left" w:pos="1443"/>
        </w:tabs>
        <w:spacing w:before="0" w:after="0" w:line="322" w:lineRule="exact"/>
        <w:rPr>
          <w:b/>
        </w:rPr>
      </w:pPr>
      <w:r>
        <w:rPr>
          <w:b/>
        </w:rPr>
        <w:t>Председатель Совета депутатов</w:t>
      </w:r>
    </w:p>
    <w:p w:rsidR="00A84E0E" w:rsidRDefault="00A84E0E" w:rsidP="00A84E0E">
      <w:pPr>
        <w:pStyle w:val="50"/>
        <w:shd w:val="clear" w:color="auto" w:fill="auto"/>
        <w:tabs>
          <w:tab w:val="left" w:pos="1443"/>
        </w:tabs>
        <w:spacing w:before="0" w:after="0" w:line="322" w:lineRule="exact"/>
        <w:rPr>
          <w:b/>
        </w:rPr>
      </w:pPr>
      <w:r>
        <w:rPr>
          <w:b/>
        </w:rPr>
        <w:t xml:space="preserve">МО «Хоринский </w:t>
      </w:r>
      <w:proofErr w:type="gramStart"/>
      <w:r>
        <w:rPr>
          <w:b/>
        </w:rPr>
        <w:t xml:space="preserve">район»   </w:t>
      </w:r>
      <w:proofErr w:type="gramEnd"/>
      <w:r>
        <w:rPr>
          <w:b/>
        </w:rPr>
        <w:t xml:space="preserve">                                                                В.Р. Салдруева</w:t>
      </w:r>
    </w:p>
    <w:p w:rsidR="00DA7C6D" w:rsidRDefault="00DA7C6D" w:rsidP="00A84E0E">
      <w:pPr>
        <w:pStyle w:val="50"/>
        <w:shd w:val="clear" w:color="auto" w:fill="auto"/>
        <w:tabs>
          <w:tab w:val="left" w:pos="1443"/>
        </w:tabs>
        <w:spacing w:before="0" w:after="0" w:line="322" w:lineRule="exact"/>
        <w:rPr>
          <w:b/>
        </w:rPr>
      </w:pPr>
    </w:p>
    <w:p w:rsidR="00B732D7" w:rsidRDefault="00B732D7" w:rsidP="00A84E0E">
      <w:pPr>
        <w:pStyle w:val="20"/>
        <w:shd w:val="clear" w:color="auto" w:fill="auto"/>
        <w:spacing w:after="0"/>
        <w:ind w:left="5380"/>
        <w:sectPr w:rsidR="00B732D7" w:rsidSect="00011331">
          <w:pgSz w:w="11906" w:h="16838"/>
          <w:pgMar w:top="1134" w:right="707" w:bottom="709" w:left="1276" w:header="708" w:footer="708" w:gutter="0"/>
          <w:cols w:space="708"/>
          <w:docGrid w:linePitch="360"/>
        </w:sectPr>
      </w:pPr>
    </w:p>
    <w:p w:rsidR="00A84E0E" w:rsidRDefault="00A84E0E" w:rsidP="00B732D7">
      <w:pPr>
        <w:pStyle w:val="20"/>
        <w:shd w:val="clear" w:color="auto" w:fill="auto"/>
        <w:spacing w:after="0"/>
        <w:ind w:left="5380"/>
        <w:jc w:val="right"/>
      </w:pPr>
      <w:r>
        <w:lastRenderedPageBreak/>
        <w:t xml:space="preserve">Приложение к постановлению Совета депутатов МО «Хоринский район» </w:t>
      </w:r>
    </w:p>
    <w:p w:rsidR="00A84E0E" w:rsidRDefault="002A36FE" w:rsidP="00B732D7">
      <w:pPr>
        <w:pStyle w:val="20"/>
        <w:shd w:val="clear" w:color="auto" w:fill="auto"/>
        <w:spacing w:after="0"/>
        <w:ind w:left="5380"/>
        <w:jc w:val="right"/>
      </w:pPr>
      <w:r>
        <w:t xml:space="preserve">№ 1-51/23 от 15 июня </w:t>
      </w:r>
      <w:r w:rsidR="00A84E0E">
        <w:t>2023г.</w:t>
      </w:r>
    </w:p>
    <w:p w:rsidR="00A84E0E" w:rsidRPr="006B5E2C" w:rsidRDefault="00A84E0E" w:rsidP="00A84E0E">
      <w:pPr>
        <w:pStyle w:val="50"/>
        <w:shd w:val="clear" w:color="auto" w:fill="auto"/>
        <w:tabs>
          <w:tab w:val="left" w:pos="1443"/>
        </w:tabs>
        <w:spacing w:before="0" w:after="0" w:line="322" w:lineRule="exact"/>
        <w:rPr>
          <w:b/>
        </w:rPr>
      </w:pPr>
    </w:p>
    <w:p w:rsidR="00A84E0E" w:rsidRPr="00A84E0E" w:rsidRDefault="00A84E0E" w:rsidP="00A84E0E">
      <w:pPr>
        <w:ind w:right="180"/>
        <w:jc w:val="center"/>
        <w:rPr>
          <w:rFonts w:ascii="Times New Roman" w:hAnsi="Times New Roman" w:cs="Times New Roman"/>
          <w:b/>
        </w:rPr>
      </w:pPr>
      <w:bookmarkStart w:id="2" w:name="bookmark2"/>
      <w:r w:rsidRPr="00A84E0E">
        <w:rPr>
          <w:rFonts w:ascii="Times New Roman" w:hAnsi="Times New Roman" w:cs="Times New Roman"/>
          <w:b/>
        </w:rPr>
        <w:t>Схема многомандатных избирательных округов для проведения выборов депутатов</w:t>
      </w:r>
      <w:r w:rsidRPr="00A84E0E">
        <w:rPr>
          <w:rFonts w:ascii="Times New Roman" w:hAnsi="Times New Roman" w:cs="Times New Roman"/>
          <w:b/>
        </w:rPr>
        <w:br/>
        <w:t>Совета депутатов му</w:t>
      </w:r>
      <w:r w:rsidRPr="00B732D7">
        <w:rPr>
          <w:rFonts w:ascii="Times New Roman" w:hAnsi="Times New Roman" w:cs="Times New Roman"/>
          <w:b/>
        </w:rPr>
        <w:t>ниц</w:t>
      </w:r>
      <w:r w:rsidRPr="00A84E0E">
        <w:rPr>
          <w:rFonts w:ascii="Times New Roman" w:hAnsi="Times New Roman" w:cs="Times New Roman"/>
          <w:b/>
        </w:rPr>
        <w:t>ипального образования « Хоринский район»</w:t>
      </w:r>
      <w:bookmarkEnd w:id="2"/>
    </w:p>
    <w:p w:rsidR="00A84E0E" w:rsidRDefault="00A84E0E" w:rsidP="00A84E0E">
      <w:pPr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A84E0E">
        <w:rPr>
          <w:rFonts w:ascii="Times New Roman" w:eastAsia="Times New Roman" w:hAnsi="Times New Roman" w:cs="Times New Roman"/>
          <w:b/>
          <w:bCs/>
          <w:color w:val="auto"/>
        </w:rPr>
        <w:t>Республики Бурятия</w:t>
      </w:r>
    </w:p>
    <w:p w:rsidR="00A84E0E" w:rsidRPr="00A84E0E" w:rsidRDefault="00A84E0E" w:rsidP="00A84E0E">
      <w:pPr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B732D7" w:rsidRDefault="00B732D7" w:rsidP="000932B8">
      <w:pPr>
        <w:ind w:right="18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Численность </w:t>
      </w:r>
      <w:r w:rsidR="00A84E0E" w:rsidRPr="00A84E0E">
        <w:rPr>
          <w:rFonts w:ascii="Times New Roman" w:eastAsia="Times New Roman" w:hAnsi="Times New Roman" w:cs="Times New Roman"/>
          <w:color w:val="auto"/>
        </w:rPr>
        <w:t>избирателей</w:t>
      </w:r>
      <w:r>
        <w:rPr>
          <w:rFonts w:ascii="Times New Roman" w:eastAsia="Times New Roman" w:hAnsi="Times New Roman" w:cs="Times New Roman"/>
          <w:color w:val="auto"/>
        </w:rPr>
        <w:t>, зарегистрированных на территории муниципального образования «Хоринский район»</w:t>
      </w:r>
      <w:r w:rsidR="00A84E0E" w:rsidRPr="00A84E0E">
        <w:rPr>
          <w:rFonts w:ascii="Times New Roman" w:eastAsia="Times New Roman" w:hAnsi="Times New Roman" w:cs="Times New Roman"/>
          <w:color w:val="auto"/>
        </w:rPr>
        <w:t xml:space="preserve"> по состоянию на 1 июля 2022 г. – 12570 </w:t>
      </w:r>
      <w:r>
        <w:rPr>
          <w:rFonts w:ascii="Times New Roman" w:eastAsia="Times New Roman" w:hAnsi="Times New Roman" w:cs="Times New Roman"/>
          <w:color w:val="auto"/>
        </w:rPr>
        <w:t>избирателей.</w:t>
      </w:r>
    </w:p>
    <w:p w:rsidR="00B732D7" w:rsidRDefault="00B732D7" w:rsidP="000932B8">
      <w:pPr>
        <w:ind w:right="18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Количество образуемых многомандатных избирательных округов – 5.</w:t>
      </w:r>
    </w:p>
    <w:p w:rsidR="00A84E0E" w:rsidRDefault="00B732D7" w:rsidP="000932B8">
      <w:pPr>
        <w:ind w:right="18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С</w:t>
      </w:r>
      <w:r w:rsidR="00A84E0E" w:rsidRPr="00A84E0E">
        <w:rPr>
          <w:rFonts w:ascii="Times New Roman" w:eastAsia="Times New Roman" w:hAnsi="Times New Roman" w:cs="Times New Roman"/>
          <w:color w:val="auto"/>
        </w:rPr>
        <w:t>редн</w:t>
      </w:r>
      <w:r>
        <w:rPr>
          <w:rFonts w:ascii="Times New Roman" w:eastAsia="Times New Roman" w:hAnsi="Times New Roman" w:cs="Times New Roman"/>
          <w:color w:val="auto"/>
        </w:rPr>
        <w:t>яя норма представительства</w:t>
      </w:r>
      <w:r w:rsidR="00A84E0E" w:rsidRPr="00A84E0E">
        <w:rPr>
          <w:rFonts w:ascii="Times New Roman" w:eastAsia="Times New Roman" w:hAnsi="Times New Roman" w:cs="Times New Roman"/>
          <w:color w:val="auto"/>
        </w:rPr>
        <w:t xml:space="preserve"> </w:t>
      </w:r>
      <w:r w:rsidR="000932B8">
        <w:rPr>
          <w:rFonts w:ascii="Times New Roman" w:eastAsia="Times New Roman" w:hAnsi="Times New Roman" w:cs="Times New Roman"/>
          <w:color w:val="auto"/>
        </w:rPr>
        <w:t xml:space="preserve">избирателей </w:t>
      </w:r>
      <w:r w:rsidR="00A84E0E" w:rsidRPr="00A84E0E">
        <w:rPr>
          <w:rFonts w:ascii="Times New Roman" w:eastAsia="Times New Roman" w:hAnsi="Times New Roman" w:cs="Times New Roman"/>
          <w:color w:val="auto"/>
        </w:rPr>
        <w:t>на 1 мандат - 838 избирателей.</w:t>
      </w:r>
    </w:p>
    <w:p w:rsidR="00AE7DE3" w:rsidRDefault="00AE7DE3" w:rsidP="000932B8">
      <w:pPr>
        <w:ind w:right="18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Максимально допустимое число избирателей при отклонении от средней нормы представительства до 10 % - 922 избирателя.</w:t>
      </w:r>
    </w:p>
    <w:p w:rsidR="00AE7DE3" w:rsidRDefault="00AE7DE3" w:rsidP="000932B8">
      <w:pPr>
        <w:ind w:right="18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Минимально допустимое число избирателей при отклонении от средней нормы представительства до 10 % - 754 избирателя.  </w:t>
      </w:r>
    </w:p>
    <w:p w:rsidR="00BA17A4" w:rsidRDefault="00BA17A4" w:rsidP="00B732D7">
      <w:pPr>
        <w:ind w:right="180" w:firstLine="851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5949"/>
        <w:gridCol w:w="2250"/>
        <w:gridCol w:w="1861"/>
      </w:tblGrid>
      <w:tr w:rsidR="00613203" w:rsidTr="00613203">
        <w:tc>
          <w:tcPr>
            <w:tcW w:w="5949" w:type="dxa"/>
          </w:tcPr>
          <w:p w:rsidR="00613203" w:rsidRPr="00011331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11331">
              <w:rPr>
                <w:rFonts w:ascii="Times New Roman" w:eastAsia="Times New Roman" w:hAnsi="Times New Roman" w:cs="Times New Roman"/>
                <w:b/>
                <w:color w:val="auto"/>
              </w:rPr>
              <w:t>Границы многомандатного избирательного округа, перечень населенных пунктов, входящих в состав многомандатного избирательного округа</w:t>
            </w:r>
          </w:p>
        </w:tc>
        <w:tc>
          <w:tcPr>
            <w:tcW w:w="2250" w:type="dxa"/>
          </w:tcPr>
          <w:p w:rsidR="00613203" w:rsidRPr="00011331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11331">
              <w:rPr>
                <w:rFonts w:ascii="Times New Roman" w:eastAsia="Times New Roman" w:hAnsi="Times New Roman" w:cs="Times New Roman"/>
                <w:b/>
                <w:color w:val="auto"/>
              </w:rPr>
              <w:t>Число избирателей в многомандатном избирательном округе</w:t>
            </w:r>
          </w:p>
        </w:tc>
        <w:tc>
          <w:tcPr>
            <w:tcW w:w="1861" w:type="dxa"/>
          </w:tcPr>
          <w:p w:rsidR="00613203" w:rsidRPr="00011331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11331">
              <w:rPr>
                <w:rFonts w:ascii="Times New Roman" w:eastAsia="Times New Roman" w:hAnsi="Times New Roman" w:cs="Times New Roman"/>
                <w:b/>
                <w:color w:val="auto"/>
              </w:rPr>
              <w:t>Отклонение от средней нормы представительства</w:t>
            </w:r>
          </w:p>
        </w:tc>
      </w:tr>
      <w:tr w:rsidR="00613203" w:rsidTr="00613203">
        <w:tc>
          <w:tcPr>
            <w:tcW w:w="10060" w:type="dxa"/>
            <w:gridSpan w:val="3"/>
          </w:tcPr>
          <w:p w:rsidR="00613203" w:rsidRDefault="00613203" w:rsidP="00A84E0E">
            <w:pPr>
              <w:ind w:right="180"/>
              <w:jc w:val="center"/>
              <w:rPr>
                <w:rFonts w:ascii="Times New Roman" w:hAnsi="Times New Roman" w:cs="Times New Roman"/>
                <w:b/>
              </w:rPr>
            </w:pPr>
            <w:r w:rsidRPr="00B732D7">
              <w:rPr>
                <w:rFonts w:ascii="Times New Roman" w:hAnsi="Times New Roman" w:cs="Times New Roman"/>
                <w:b/>
              </w:rPr>
              <w:t>2-х мандатный избирательный округ № 1</w:t>
            </w:r>
          </w:p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13203" w:rsidTr="00613203">
        <w:tc>
          <w:tcPr>
            <w:tcW w:w="5949" w:type="dxa"/>
          </w:tcPr>
          <w:p w:rsidR="00613203" w:rsidRDefault="00613203" w:rsidP="00613203">
            <w:pPr>
              <w:ind w:left="17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с. Георгиевское, у.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Амгаланта</w:t>
            </w:r>
            <w:proofErr w:type="spellEnd"/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, у.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Ашанга</w:t>
            </w:r>
            <w:proofErr w:type="spellEnd"/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Зун-Хурай</w:t>
            </w:r>
            <w:proofErr w:type="spellEnd"/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, с.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Ониноборск</w:t>
            </w:r>
            <w:proofErr w:type="spellEnd"/>
            <w:r w:rsidRPr="00B732D7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у</w:t>
            </w:r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Булум</w:t>
            </w:r>
            <w:proofErr w:type="spellEnd"/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 w:rsidR="00302DA2">
              <w:rPr>
                <w:rFonts w:ascii="Times New Roman" w:eastAsia="Times New Roman" w:hAnsi="Times New Roman" w:cs="Times New Roman"/>
                <w:color w:val="auto"/>
              </w:rPr>
              <w:t xml:space="preserve">у. </w:t>
            </w:r>
            <w:proofErr w:type="spellStart"/>
            <w:r w:rsidR="00302DA2">
              <w:rPr>
                <w:rFonts w:ascii="Times New Roman" w:eastAsia="Times New Roman" w:hAnsi="Times New Roman" w:cs="Times New Roman"/>
                <w:color w:val="auto"/>
              </w:rPr>
              <w:t>Анинск</w:t>
            </w:r>
            <w:proofErr w:type="spellEnd"/>
            <w:r w:rsidR="00302DA2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r w:rsidRPr="00B732D7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B732D7">
              <w:rPr>
                <w:rFonts w:ascii="Times New Roman" w:eastAsia="Times New Roman" w:hAnsi="Times New Roman" w:cs="Times New Roman"/>
                <w:color w:val="auto"/>
              </w:rPr>
              <w:t>Майла</w:t>
            </w:r>
            <w:proofErr w:type="spellEnd"/>
            <w:r w:rsidR="00E60573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613203" w:rsidRPr="00011331" w:rsidRDefault="00613203" w:rsidP="00011331">
            <w:pPr>
              <w:ind w:left="-709" w:firstLine="709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</w:tcPr>
          <w:p w:rsidR="00613203" w:rsidRDefault="00613203" w:rsidP="00302DA2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302DA2">
              <w:rPr>
                <w:rFonts w:ascii="Times New Roman" w:eastAsia="Times New Roman" w:hAnsi="Times New Roman" w:cs="Times New Roman"/>
                <w:color w:val="auto"/>
              </w:rPr>
              <w:t>604</w:t>
            </w:r>
          </w:p>
        </w:tc>
        <w:tc>
          <w:tcPr>
            <w:tcW w:w="1861" w:type="dxa"/>
          </w:tcPr>
          <w:p w:rsidR="00613203" w:rsidRDefault="00613203" w:rsidP="00302DA2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r w:rsidR="00302DA2">
              <w:rPr>
                <w:rFonts w:ascii="Times New Roman" w:eastAsia="Times New Roman" w:hAnsi="Times New Roman" w:cs="Times New Roman"/>
                <w:color w:val="auto"/>
              </w:rPr>
              <w:t>4,3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%</w:t>
            </w:r>
          </w:p>
        </w:tc>
      </w:tr>
      <w:tr w:rsidR="00613203" w:rsidTr="00613203">
        <w:tc>
          <w:tcPr>
            <w:tcW w:w="10060" w:type="dxa"/>
            <w:gridSpan w:val="3"/>
          </w:tcPr>
          <w:p w:rsidR="00613203" w:rsidRDefault="00613203" w:rsidP="00A84E0E">
            <w:pPr>
              <w:ind w:right="180"/>
              <w:jc w:val="center"/>
              <w:rPr>
                <w:rFonts w:ascii="Times New Roman" w:hAnsi="Times New Roman" w:cs="Times New Roman"/>
                <w:b/>
              </w:rPr>
            </w:pPr>
            <w:r w:rsidRPr="00011331">
              <w:rPr>
                <w:rFonts w:ascii="Times New Roman" w:hAnsi="Times New Roman" w:cs="Times New Roman"/>
                <w:b/>
              </w:rPr>
              <w:t>4-х мандатный избирательный округ № 2</w:t>
            </w:r>
          </w:p>
          <w:p w:rsidR="00613203" w:rsidRPr="00011331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613203" w:rsidTr="00613203">
        <w:tc>
          <w:tcPr>
            <w:tcW w:w="5949" w:type="dxa"/>
          </w:tcPr>
          <w:p w:rsidR="00613203" w:rsidRDefault="00613203" w:rsidP="00613203">
            <w:pPr>
              <w:ind w:left="17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Могой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. Малая Курба,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Ойбонт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>, у.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Тэгда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у.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Тохорюкта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с.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Хасурта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у.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Барун-Хасурта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с. Верхние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Тальцы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у.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Додо</w:t>
            </w:r>
            <w:proofErr w:type="spellEnd"/>
            <w:r w:rsidR="00936AB0">
              <w:rPr>
                <w:rFonts w:ascii="Times New Roman" w:eastAsia="Times New Roman" w:hAnsi="Times New Roman" w:cs="Times New Roman"/>
                <w:color w:val="auto"/>
              </w:rPr>
              <w:t>-Г</w:t>
            </w: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ол,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с.Удинск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>, у. Баянгол</w:t>
            </w:r>
            <w:r w:rsidR="00E60573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613203" w:rsidRDefault="00613203" w:rsidP="00613203">
            <w:pPr>
              <w:ind w:left="40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250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3465</w:t>
            </w:r>
          </w:p>
        </w:tc>
        <w:tc>
          <w:tcPr>
            <w:tcW w:w="1861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+ 3,3%</w:t>
            </w:r>
          </w:p>
        </w:tc>
      </w:tr>
      <w:tr w:rsidR="00613203" w:rsidTr="008B46C1">
        <w:tc>
          <w:tcPr>
            <w:tcW w:w="10060" w:type="dxa"/>
            <w:gridSpan w:val="3"/>
          </w:tcPr>
          <w:p w:rsidR="00613203" w:rsidRDefault="00613203" w:rsidP="00A84E0E">
            <w:pPr>
              <w:ind w:right="180"/>
              <w:jc w:val="center"/>
              <w:rPr>
                <w:rFonts w:ascii="Times New Roman" w:hAnsi="Times New Roman" w:cs="Times New Roman"/>
                <w:b/>
              </w:rPr>
            </w:pPr>
            <w:r w:rsidRPr="00613203">
              <w:rPr>
                <w:rFonts w:ascii="Times New Roman" w:hAnsi="Times New Roman" w:cs="Times New Roman"/>
                <w:b/>
              </w:rPr>
              <w:t>4-х мандатный избирательный округ № 3</w:t>
            </w:r>
          </w:p>
          <w:p w:rsidR="00613203" w:rsidRP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613203" w:rsidTr="00613203">
        <w:tc>
          <w:tcPr>
            <w:tcW w:w="5949" w:type="dxa"/>
          </w:tcPr>
          <w:p w:rsidR="00613203" w:rsidRDefault="00613203" w:rsidP="006652AA">
            <w:pPr>
              <w:ind w:left="17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у. Алан, у.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Кульский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 Станок, с.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Кульск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с.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Санномыск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с. Тарбагатай, п. Нарын, п.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Хандагай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, с. </w:t>
            </w:r>
            <w:proofErr w:type="spellStart"/>
            <w:r w:rsidRPr="00A84E0E">
              <w:rPr>
                <w:rFonts w:ascii="Times New Roman" w:eastAsia="Times New Roman" w:hAnsi="Times New Roman" w:cs="Times New Roman"/>
                <w:color w:val="auto"/>
              </w:rPr>
              <w:t>Хоринск</w:t>
            </w:r>
            <w:proofErr w:type="spellEnd"/>
            <w:r w:rsidRPr="00A84E0E">
              <w:rPr>
                <w:rFonts w:ascii="Times New Roman" w:eastAsia="Times New Roman" w:hAnsi="Times New Roman" w:cs="Times New Roman"/>
                <w:color w:val="auto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пер. Целинный, ул. Солнечная, ул. Комсомольская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нечетная сторона с № 53 до № 9</w:t>
            </w:r>
            <w:r w:rsidR="006652AA">
              <w:rPr>
                <w:rFonts w:ascii="Times New Roman" w:hAnsi="Times New Roman" w:cs="Times New Roman"/>
              </w:rPr>
              <w:t>3</w:t>
            </w:r>
            <w:r w:rsidR="006652AA" w:rsidRPr="0055220E">
              <w:rPr>
                <w:rFonts w:ascii="Times New Roman" w:hAnsi="Times New Roman" w:cs="Times New Roman"/>
              </w:rPr>
              <w:t xml:space="preserve">, четная сторона с № 58 до № 80, ул. Б.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Санжиева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ул. </w:t>
            </w:r>
            <w:r w:rsidR="006652AA">
              <w:rPr>
                <w:rFonts w:ascii="Times New Roman" w:hAnsi="Times New Roman" w:cs="Times New Roman"/>
              </w:rPr>
              <w:t>и</w:t>
            </w:r>
            <w:r w:rsidR="006652AA" w:rsidRPr="0055220E">
              <w:rPr>
                <w:rFonts w:ascii="Times New Roman" w:hAnsi="Times New Roman" w:cs="Times New Roman"/>
              </w:rPr>
              <w:t xml:space="preserve">м. Д.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Жанаева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>,</w:t>
            </w:r>
            <w:r w:rsidR="006652AA">
              <w:rPr>
                <w:rFonts w:ascii="Times New Roman" w:hAnsi="Times New Roman" w:cs="Times New Roman"/>
              </w:rPr>
              <w:t xml:space="preserve"> пер. </w:t>
            </w:r>
            <w:proofErr w:type="spellStart"/>
            <w:r w:rsidR="006652AA">
              <w:rPr>
                <w:rFonts w:ascii="Times New Roman" w:hAnsi="Times New Roman" w:cs="Times New Roman"/>
              </w:rPr>
              <w:t>Жанаева</w:t>
            </w:r>
            <w:proofErr w:type="spellEnd"/>
            <w:r w:rsidR="006652AA">
              <w:rPr>
                <w:rFonts w:ascii="Times New Roman" w:hAnsi="Times New Roman" w:cs="Times New Roman"/>
              </w:rPr>
              <w:t>,</w:t>
            </w:r>
            <w:r w:rsidR="006652AA" w:rsidRPr="0055220E">
              <w:rPr>
                <w:rFonts w:ascii="Times New Roman" w:hAnsi="Times New Roman" w:cs="Times New Roman"/>
              </w:rPr>
              <w:t xml:space="preserve"> ул. Заводская,</w:t>
            </w:r>
            <w:r w:rsidR="006652AA">
              <w:rPr>
                <w:rFonts w:ascii="Times New Roman" w:hAnsi="Times New Roman" w:cs="Times New Roman"/>
              </w:rPr>
              <w:t xml:space="preserve"> ул.</w:t>
            </w:r>
            <w:r w:rsidR="006652AA" w:rsidRPr="0055220E">
              <w:rPr>
                <w:rFonts w:ascii="Times New Roman" w:hAnsi="Times New Roman" w:cs="Times New Roman"/>
              </w:rPr>
              <w:t xml:space="preserve"> Спортивная, пер. Спортивный,</w:t>
            </w:r>
            <w:r w:rsidR="006652AA">
              <w:rPr>
                <w:rFonts w:ascii="Times New Roman" w:hAnsi="Times New Roman" w:cs="Times New Roman"/>
              </w:rPr>
              <w:t xml:space="preserve"> ул.</w:t>
            </w:r>
            <w:r w:rsidR="006652AA" w:rsidRPr="0055220E">
              <w:rPr>
                <w:rFonts w:ascii="Times New Roman" w:hAnsi="Times New Roman" w:cs="Times New Roman"/>
              </w:rPr>
              <w:t xml:space="preserve"> Строительная, пер. Строительный, ул. Гражданская, 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Ключевая,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Лесная,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="006652AA" w:rsidRPr="00FA1382">
              <w:rPr>
                <w:rFonts w:ascii="Times New Roman" w:hAnsi="Times New Roman" w:cs="Times New Roman"/>
              </w:rPr>
              <w:t>ул.</w:t>
            </w:r>
            <w:r w:rsidR="006652AA">
              <w:rPr>
                <w:rFonts w:ascii="Times New Roman" w:hAnsi="Times New Roman" w:cs="Times New Roman"/>
              </w:rPr>
              <w:t xml:space="preserve"> </w:t>
            </w:r>
            <w:r w:rsidR="006652AA" w:rsidRPr="00FA1382">
              <w:rPr>
                <w:rFonts w:ascii="Times New Roman" w:hAnsi="Times New Roman" w:cs="Times New Roman"/>
              </w:rPr>
              <w:t>Международная</w:t>
            </w:r>
            <w:r w:rsidR="006652AA" w:rsidRPr="0055220E">
              <w:rPr>
                <w:rFonts w:ascii="Times New Roman" w:hAnsi="Times New Roman" w:cs="Times New Roman"/>
              </w:rPr>
              <w:t>,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 xml:space="preserve">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FA1382">
              <w:rPr>
                <w:rFonts w:ascii="Times New Roman" w:hAnsi="Times New Roman" w:cs="Times New Roman"/>
              </w:rPr>
              <w:t>Набережная, ул.</w:t>
            </w:r>
            <w:r w:rsidR="006652AA">
              <w:rPr>
                <w:rFonts w:ascii="Times New Roman" w:hAnsi="Times New Roman" w:cs="Times New Roman"/>
              </w:rPr>
              <w:t xml:space="preserve"> </w:t>
            </w:r>
            <w:r w:rsidR="006652AA" w:rsidRPr="00FA1382">
              <w:rPr>
                <w:rFonts w:ascii="Times New Roman" w:hAnsi="Times New Roman" w:cs="Times New Roman"/>
              </w:rPr>
              <w:t>Пионерская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  с № 4 по № 62, пер. Пионерский,  ул. Промышленная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нечетная сторона с №1 по № 23, четная сторона с № 2 по № 22,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Садовая,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Сплавная,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 xml:space="preserve">Удинская,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Учительская,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Хоринская</w:t>
            </w:r>
            <w:proofErr w:type="spellEnd"/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нечетная сторона с № 1 по  № 39, четная сторона с № 2</w:t>
            </w:r>
            <w:r w:rsidR="006652AA">
              <w:rPr>
                <w:rFonts w:ascii="Times New Roman" w:hAnsi="Times New Roman" w:cs="Times New Roman"/>
              </w:rPr>
              <w:t xml:space="preserve"> по №26,  ул. Целинная, ул.</w:t>
            </w:r>
            <w:r w:rsidR="006652AA" w:rsidRPr="0055220E">
              <w:rPr>
                <w:rFonts w:ascii="Times New Roman" w:hAnsi="Times New Roman" w:cs="Times New Roman"/>
              </w:rPr>
              <w:t xml:space="preserve"> 50-лет Октября</w:t>
            </w:r>
            <w:r w:rsidR="006652AA">
              <w:rPr>
                <w:rFonts w:ascii="Times New Roman" w:hAnsi="Times New Roman" w:cs="Times New Roman"/>
                <w:color w:val="FF0000"/>
              </w:rPr>
              <w:t>,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6652AA" w:rsidRPr="00FA1382">
              <w:rPr>
                <w:rFonts w:ascii="Times New Roman" w:hAnsi="Times New Roman" w:cs="Times New Roman"/>
              </w:rPr>
              <w:t>ул.</w:t>
            </w:r>
            <w:r w:rsidR="006652AA" w:rsidRPr="0055220E">
              <w:rPr>
                <w:rFonts w:ascii="Times New Roman" w:hAnsi="Times New Roman" w:cs="Times New Roman"/>
                <w:i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>Ленина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</w:t>
            </w:r>
            <w:r w:rsidR="006652AA">
              <w:rPr>
                <w:rFonts w:ascii="Times New Roman" w:hAnsi="Times New Roman" w:cs="Times New Roman"/>
              </w:rPr>
              <w:t xml:space="preserve">нечетная сторона с № </w:t>
            </w:r>
            <w:r w:rsidR="006652AA" w:rsidRPr="0055220E">
              <w:rPr>
                <w:rFonts w:ascii="Times New Roman" w:hAnsi="Times New Roman" w:cs="Times New Roman"/>
              </w:rPr>
              <w:t xml:space="preserve">31 </w:t>
            </w:r>
            <w:r w:rsidR="006652AA">
              <w:rPr>
                <w:rFonts w:ascii="Times New Roman" w:hAnsi="Times New Roman" w:cs="Times New Roman"/>
              </w:rPr>
              <w:t>до конца</w:t>
            </w:r>
            <w:r w:rsidR="006652AA" w:rsidRPr="0055220E">
              <w:rPr>
                <w:rFonts w:ascii="Times New Roman" w:hAnsi="Times New Roman" w:cs="Times New Roman"/>
              </w:rPr>
              <w:t>, четная  сторона с № 30  до конца</w:t>
            </w:r>
            <w:r w:rsidR="006652AA">
              <w:rPr>
                <w:rFonts w:ascii="Times New Roman" w:hAnsi="Times New Roman" w:cs="Times New Roman"/>
              </w:rPr>
              <w:t xml:space="preserve">, </w:t>
            </w:r>
            <w:r w:rsidR="006652AA" w:rsidRPr="009C3EB2">
              <w:rPr>
                <w:rFonts w:ascii="Times New Roman" w:hAnsi="Times New Roman" w:cs="Times New Roman"/>
              </w:rPr>
              <w:t>ул. Речная с №1 по № 4</w:t>
            </w:r>
            <w:r w:rsidR="00E60573">
              <w:rPr>
                <w:rFonts w:ascii="Times New Roman" w:hAnsi="Times New Roman" w:cs="Times New Roman"/>
              </w:rPr>
              <w:t>.</w:t>
            </w:r>
            <w:r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250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3260</w:t>
            </w:r>
          </w:p>
        </w:tc>
        <w:tc>
          <w:tcPr>
            <w:tcW w:w="1861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- 2,8 %</w:t>
            </w:r>
          </w:p>
        </w:tc>
      </w:tr>
      <w:tr w:rsidR="00613203" w:rsidTr="00E21AAB">
        <w:tc>
          <w:tcPr>
            <w:tcW w:w="10060" w:type="dxa"/>
            <w:gridSpan w:val="3"/>
          </w:tcPr>
          <w:p w:rsidR="00613203" w:rsidRPr="00613203" w:rsidRDefault="00613203" w:rsidP="00A84E0E">
            <w:pPr>
              <w:ind w:right="180"/>
              <w:jc w:val="center"/>
              <w:rPr>
                <w:rFonts w:ascii="Times New Roman" w:hAnsi="Times New Roman" w:cs="Times New Roman"/>
                <w:b/>
              </w:rPr>
            </w:pPr>
            <w:r w:rsidRPr="00613203">
              <w:rPr>
                <w:rFonts w:ascii="Times New Roman" w:hAnsi="Times New Roman" w:cs="Times New Roman"/>
                <w:b/>
              </w:rPr>
              <w:lastRenderedPageBreak/>
              <w:t>3-х мандатный избирательный округ № 4</w:t>
            </w:r>
          </w:p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13203" w:rsidTr="00613203">
        <w:tc>
          <w:tcPr>
            <w:tcW w:w="5949" w:type="dxa"/>
          </w:tcPr>
          <w:p w:rsidR="006652AA" w:rsidRDefault="00613203" w:rsidP="00613203">
            <w:pPr>
              <w:tabs>
                <w:tab w:val="left" w:pos="713"/>
                <w:tab w:val="left" w:pos="5236"/>
              </w:tabs>
              <w:ind w:left="171"/>
              <w:jc w:val="both"/>
              <w:outlineLvl w:val="1"/>
              <w:rPr>
                <w:rFonts w:ascii="Times New Roman" w:hAnsi="Times New Roman" w:cs="Times New Roman"/>
              </w:rPr>
            </w:pPr>
            <w:r w:rsidRPr="00613203">
              <w:rPr>
                <w:rFonts w:ascii="Times New Roman" w:eastAsia="Times New Roman" w:hAnsi="Times New Roman" w:cs="Times New Roman"/>
                <w:color w:val="auto"/>
              </w:rPr>
              <w:t xml:space="preserve">с. </w:t>
            </w:r>
            <w:proofErr w:type="spellStart"/>
            <w:r w:rsidRPr="00613203">
              <w:rPr>
                <w:rFonts w:ascii="Times New Roman" w:eastAsia="Times New Roman" w:hAnsi="Times New Roman" w:cs="Times New Roman"/>
                <w:color w:val="auto"/>
              </w:rPr>
              <w:t>Хоринск</w:t>
            </w:r>
            <w:proofErr w:type="spellEnd"/>
            <w:r w:rsidRPr="00613203">
              <w:rPr>
                <w:rFonts w:ascii="Times New Roman" w:eastAsia="Times New Roman" w:hAnsi="Times New Roman" w:cs="Times New Roman"/>
                <w:color w:val="auto"/>
              </w:rPr>
              <w:t xml:space="preserve">: </w:t>
            </w:r>
            <w:r w:rsidR="006652AA">
              <w:rPr>
                <w:rFonts w:ascii="Times New Roman" w:hAnsi="Times New Roman" w:cs="Times New Roman"/>
              </w:rPr>
              <w:t>у</w:t>
            </w:r>
            <w:r w:rsidR="006652AA" w:rsidRPr="0055220E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Аэропортная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Анинская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им.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Балбарова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им.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Б.Батуева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Восточная,</w:t>
            </w:r>
            <w:r w:rsidR="006652AA">
              <w:rPr>
                <w:rFonts w:ascii="Times New Roman" w:hAnsi="Times New Roman" w:cs="Times New Roman"/>
              </w:rPr>
              <w:t xml:space="preserve"> ул.</w:t>
            </w:r>
            <w:r w:rsidR="006652AA" w:rsidRPr="0055220E">
              <w:rPr>
                <w:rFonts w:ascii="Times New Roman" w:hAnsi="Times New Roman" w:cs="Times New Roman"/>
              </w:rPr>
              <w:t xml:space="preserve"> Комсомольская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нечетная сторона с № 1 по 51, четная сторона с № 2 по № 56, 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Ленинградская,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Луговая,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>Молодежная,</w:t>
            </w:r>
            <w:r w:rsidR="006652AA">
              <w:rPr>
                <w:rFonts w:ascii="Times New Roman" w:hAnsi="Times New Roman" w:cs="Times New Roman"/>
              </w:rPr>
              <w:t xml:space="preserve"> ул.</w:t>
            </w:r>
            <w:r w:rsidR="006652AA" w:rsidRPr="0055220E">
              <w:rPr>
                <w:rFonts w:ascii="Times New Roman" w:hAnsi="Times New Roman" w:cs="Times New Roman"/>
              </w:rPr>
              <w:t xml:space="preserve"> Озерная,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Партизанская, </w:t>
            </w:r>
            <w:proofErr w:type="spellStart"/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55220E">
              <w:rPr>
                <w:rFonts w:ascii="Times New Roman" w:hAnsi="Times New Roman" w:cs="Times New Roman"/>
              </w:rPr>
              <w:t>им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. Плешкова-Базарова,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Пролетарская, пер. Промышленный,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Пушкина,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Профсоюзная, пер. Рабочий,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Совхозная,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Степная,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Фадеева,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Хрустальная,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55220E">
              <w:rPr>
                <w:rFonts w:ascii="Times New Roman" w:hAnsi="Times New Roman" w:cs="Times New Roman"/>
              </w:rPr>
              <w:t xml:space="preserve"> им. Цыдыпова,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Южная,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Звездная, ул. Кооперативная четная сторона с № 74 по № 76, нечетная сторона  с № 109 по № 129 , ул. Октябрьская нечетная сторона с № 17 по № 149 и четная с № 28 по № 102, </w:t>
            </w:r>
            <w:proofErr w:type="spellStart"/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55220E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 с  дома № 68  до конца, нечетная  сторона с № 91 до конца, ул. Пионерская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нечетная сторона с № 1 по  №67, ул. Промышленная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четная сторона с № 24  до конца,  нечетная сторона с № 25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 xml:space="preserve">до конца,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Проточная,  ул. Пшеничная,  пер. Фадеева, ул.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Хоринская</w:t>
            </w:r>
            <w:proofErr w:type="spellEnd"/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с № 28    до конца, нечетная сторона </w:t>
            </w:r>
            <w:r w:rsidR="006652AA">
              <w:rPr>
                <w:rFonts w:ascii="Times New Roman" w:hAnsi="Times New Roman" w:cs="Times New Roman"/>
              </w:rPr>
              <w:t xml:space="preserve">с № 41 до конца, ул. Юбилейная, ул. Таежная, ул. Березовая, ул. </w:t>
            </w:r>
            <w:proofErr w:type="spellStart"/>
            <w:r w:rsidR="006652AA">
              <w:rPr>
                <w:rFonts w:ascii="Times New Roman" w:hAnsi="Times New Roman" w:cs="Times New Roman"/>
              </w:rPr>
              <w:t>Баргузинская</w:t>
            </w:r>
            <w:proofErr w:type="spellEnd"/>
            <w:r w:rsidR="006652AA">
              <w:rPr>
                <w:rFonts w:ascii="Times New Roman" w:hAnsi="Times New Roman" w:cs="Times New Roman"/>
              </w:rPr>
              <w:t xml:space="preserve">, ул. Еловая, ул. Кленовая, ул. Лазурная, ул. им. Лидии </w:t>
            </w:r>
            <w:proofErr w:type="spellStart"/>
            <w:r w:rsidR="006652AA">
              <w:rPr>
                <w:rFonts w:ascii="Times New Roman" w:hAnsi="Times New Roman" w:cs="Times New Roman"/>
              </w:rPr>
              <w:t>Нимаевой</w:t>
            </w:r>
            <w:proofErr w:type="spellEnd"/>
            <w:r w:rsidR="006652AA">
              <w:rPr>
                <w:rFonts w:ascii="Times New Roman" w:hAnsi="Times New Roman" w:cs="Times New Roman"/>
              </w:rPr>
              <w:t xml:space="preserve">, ул. Новая, ул. Цветочная, ул. Кедровая, ул. Радужная, ул. Мира, ул. Светлая, </w:t>
            </w:r>
            <w:r w:rsidR="006652AA" w:rsidRPr="009C3EB2">
              <w:rPr>
                <w:rFonts w:ascii="Times New Roman" w:hAnsi="Times New Roman" w:cs="Times New Roman"/>
              </w:rPr>
              <w:t xml:space="preserve">ул. Взлётная, ул. </w:t>
            </w:r>
            <w:proofErr w:type="spellStart"/>
            <w:r w:rsidR="006652AA" w:rsidRPr="009C3EB2">
              <w:rPr>
                <w:rFonts w:ascii="Times New Roman" w:hAnsi="Times New Roman" w:cs="Times New Roman"/>
              </w:rPr>
              <w:t>Заовражная</w:t>
            </w:r>
            <w:proofErr w:type="spellEnd"/>
            <w:r w:rsidR="006652AA" w:rsidRPr="009C3EB2">
              <w:rPr>
                <w:rFonts w:ascii="Times New Roman" w:hAnsi="Times New Roman" w:cs="Times New Roman"/>
              </w:rPr>
              <w:t>, ул. Зелёная, ул. Малиновая, ул. Полевая, ул. Рябиновая, ул. Янтарная.</w:t>
            </w:r>
          </w:p>
          <w:p w:rsidR="00613203" w:rsidRPr="00A84E0E" w:rsidRDefault="00613203" w:rsidP="006652AA">
            <w:pPr>
              <w:tabs>
                <w:tab w:val="left" w:pos="713"/>
                <w:tab w:val="left" w:pos="5236"/>
              </w:tabs>
              <w:ind w:left="171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250" w:type="dxa"/>
          </w:tcPr>
          <w:p w:rsidR="00613203" w:rsidRDefault="00613203" w:rsidP="00302DA2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="00302DA2">
              <w:rPr>
                <w:rFonts w:ascii="Times New Roman" w:eastAsia="Times New Roman" w:hAnsi="Times New Roman" w:cs="Times New Roman"/>
                <w:color w:val="auto"/>
              </w:rPr>
              <w:t>462</w:t>
            </w:r>
          </w:p>
        </w:tc>
        <w:tc>
          <w:tcPr>
            <w:tcW w:w="1861" w:type="dxa"/>
          </w:tcPr>
          <w:p w:rsidR="00613203" w:rsidRDefault="00302DA2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- 2,1</w:t>
            </w:r>
            <w:r w:rsidR="00613203">
              <w:rPr>
                <w:rFonts w:ascii="Times New Roman" w:eastAsia="Times New Roman" w:hAnsi="Times New Roman" w:cs="Times New Roman"/>
                <w:color w:val="auto"/>
              </w:rPr>
              <w:t xml:space="preserve"> %</w:t>
            </w:r>
          </w:p>
        </w:tc>
      </w:tr>
      <w:tr w:rsidR="00613203" w:rsidTr="00D50E8C">
        <w:tc>
          <w:tcPr>
            <w:tcW w:w="10060" w:type="dxa"/>
            <w:gridSpan w:val="3"/>
          </w:tcPr>
          <w:p w:rsidR="00613203" w:rsidRDefault="00613203" w:rsidP="00A84E0E">
            <w:pPr>
              <w:ind w:right="180"/>
              <w:jc w:val="center"/>
              <w:rPr>
                <w:rFonts w:ascii="Times New Roman" w:hAnsi="Times New Roman" w:cs="Times New Roman"/>
                <w:b/>
              </w:rPr>
            </w:pPr>
            <w:r w:rsidRPr="00613203">
              <w:rPr>
                <w:rFonts w:ascii="Times New Roman" w:hAnsi="Times New Roman" w:cs="Times New Roman"/>
                <w:b/>
              </w:rPr>
              <w:t>2-х мандатный избирательный округ № 5</w:t>
            </w:r>
          </w:p>
          <w:p w:rsidR="00613203" w:rsidRP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</w:p>
        </w:tc>
      </w:tr>
      <w:tr w:rsidR="00613203" w:rsidTr="00613203">
        <w:tc>
          <w:tcPr>
            <w:tcW w:w="5949" w:type="dxa"/>
          </w:tcPr>
          <w:p w:rsidR="00613203" w:rsidRPr="006652AA" w:rsidRDefault="001263C0" w:rsidP="006652AA">
            <w:pPr>
              <w:ind w:left="17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</w:t>
            </w:r>
            <w:r w:rsidR="00613203"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="00613203" w:rsidRPr="00A84E0E">
              <w:rPr>
                <w:rFonts w:ascii="Times New Roman" w:eastAsia="Times New Roman" w:hAnsi="Times New Roman" w:cs="Times New Roman"/>
                <w:color w:val="auto"/>
              </w:rPr>
              <w:t>Хоринск</w:t>
            </w:r>
            <w:proofErr w:type="spellEnd"/>
            <w:r w:rsidR="00613203" w:rsidRPr="00A84E0E">
              <w:rPr>
                <w:rFonts w:ascii="Times New Roman" w:eastAsia="Times New Roman" w:hAnsi="Times New Roman" w:cs="Times New Roman"/>
                <w:color w:val="auto"/>
              </w:rPr>
              <w:t xml:space="preserve">: </w:t>
            </w:r>
            <w:r w:rsidR="006652AA" w:rsidRPr="0055220E">
              <w:rPr>
                <w:rFonts w:ascii="Times New Roman" w:hAnsi="Times New Roman" w:cs="Times New Roman"/>
              </w:rPr>
              <w:t>ул.</w:t>
            </w:r>
            <w:r w:rsidR="006652AA">
              <w:rPr>
                <w:rFonts w:ascii="Times New Roman" w:hAnsi="Times New Roman" w:cs="Times New Roman"/>
              </w:rPr>
              <w:t xml:space="preserve"> </w:t>
            </w:r>
            <w:r w:rsidR="006652AA" w:rsidRPr="0055220E">
              <w:rPr>
                <w:rFonts w:ascii="Times New Roman" w:hAnsi="Times New Roman" w:cs="Times New Roman"/>
              </w:rPr>
              <w:t xml:space="preserve">Армейская,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Больничный городок,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Дачная,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55220E">
              <w:rPr>
                <w:rFonts w:ascii="Times New Roman" w:hAnsi="Times New Roman" w:cs="Times New Roman"/>
              </w:rPr>
              <w:t xml:space="preserve"> Заречная,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Зауда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20C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Зэргэлэйская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пер.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Зэргэлэйский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>ул.</w:t>
            </w:r>
            <w:r w:rsidR="006652AA" w:rsidRPr="002F2D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52AA" w:rsidRPr="0055220E">
              <w:rPr>
                <w:rFonts w:ascii="Times New Roman" w:hAnsi="Times New Roman" w:cs="Times New Roman"/>
              </w:rPr>
              <w:t>Кодунская</w:t>
            </w:r>
            <w:proofErr w:type="spellEnd"/>
            <w:r w:rsidR="006652AA" w:rsidRPr="0055220E">
              <w:rPr>
                <w:rFonts w:ascii="Times New Roman" w:hAnsi="Times New Roman" w:cs="Times New Roman"/>
              </w:rPr>
              <w:t>,</w:t>
            </w:r>
            <w:r w:rsidR="006652AA">
              <w:rPr>
                <w:rFonts w:ascii="Times New Roman" w:hAnsi="Times New Roman" w:cs="Times New Roman"/>
              </w:rPr>
              <w:t xml:space="preserve"> ул.</w:t>
            </w:r>
            <w:r w:rsidR="006652AA" w:rsidRPr="0055220E">
              <w:rPr>
                <w:rFonts w:ascii="Times New Roman" w:hAnsi="Times New Roman" w:cs="Times New Roman"/>
              </w:rPr>
              <w:t xml:space="preserve"> Коммунальная,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Кузнечная,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Олимпийская, пер. Песчаный, ул. Сосновая, ул. </w:t>
            </w:r>
            <w:r w:rsidR="006652AA">
              <w:rPr>
                <w:rFonts w:ascii="Times New Roman" w:hAnsi="Times New Roman" w:cs="Times New Roman"/>
              </w:rPr>
              <w:t>и</w:t>
            </w:r>
            <w:r w:rsidR="006652AA" w:rsidRPr="0055220E">
              <w:rPr>
                <w:rFonts w:ascii="Times New Roman" w:hAnsi="Times New Roman" w:cs="Times New Roman"/>
              </w:rPr>
              <w:t xml:space="preserve">м. В. Терешковой, ул. Трактовая, учхоз  </w:t>
            </w:r>
            <w:r w:rsidR="006652AA">
              <w:rPr>
                <w:rFonts w:ascii="Times New Roman" w:hAnsi="Times New Roman" w:cs="Times New Roman"/>
              </w:rPr>
              <w:t>СПТУ-37</w:t>
            </w:r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Энергетиков,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Гагарина,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Кооперативная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с  № 2  по 72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="006652AA" w:rsidRPr="0055220E">
              <w:rPr>
                <w:rFonts w:ascii="Times New Roman" w:hAnsi="Times New Roman" w:cs="Times New Roman"/>
              </w:rPr>
              <w:t xml:space="preserve">нечетная сторона с № 3 по № 107, 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Ленина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четная сторона  с № 2 по № 28,</w:t>
            </w:r>
            <w:r w:rsidR="006652AA" w:rsidRPr="0055220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="006652AA" w:rsidRPr="0055220E">
              <w:rPr>
                <w:rFonts w:ascii="Times New Roman" w:hAnsi="Times New Roman" w:cs="Times New Roman"/>
              </w:rPr>
              <w:t>нечетная сторона с № 1 по 29</w:t>
            </w:r>
            <w:r w:rsidR="006652AA" w:rsidRPr="00FA1382">
              <w:rPr>
                <w:rFonts w:ascii="Times New Roman" w:hAnsi="Times New Roman" w:cs="Times New Roman"/>
              </w:rPr>
              <w:t>, ул.</w:t>
            </w:r>
            <w:r w:rsidR="006652AA">
              <w:rPr>
                <w:rFonts w:ascii="Times New Roman" w:hAnsi="Times New Roman" w:cs="Times New Roman"/>
              </w:rPr>
              <w:t xml:space="preserve"> </w:t>
            </w:r>
            <w:r w:rsidR="006652AA" w:rsidRPr="00FA1382">
              <w:rPr>
                <w:rFonts w:ascii="Times New Roman" w:hAnsi="Times New Roman" w:cs="Times New Roman"/>
              </w:rPr>
              <w:t>Нагорная</w:t>
            </w:r>
            <w:r w:rsidR="006652AA" w:rsidRPr="0055220E">
              <w:rPr>
                <w:rFonts w:ascii="Times New Roman" w:hAnsi="Times New Roman" w:cs="Times New Roman"/>
              </w:rPr>
              <w:t>, ул. Первомайская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с № 2 по № 66, нечетная сторона с № 1 по № 89,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Пионерская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четная сторона № 2, 2А. 2Б,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Цыдендамбаева,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 xml:space="preserve">Театральная, 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Аптечная</w:t>
            </w:r>
            <w:r w:rsidR="006652AA" w:rsidRPr="00FA1382">
              <w:rPr>
                <w:rFonts w:ascii="Times New Roman" w:hAnsi="Times New Roman" w:cs="Times New Roman"/>
              </w:rPr>
              <w:t>,   ул. Базарная</w:t>
            </w:r>
            <w:r w:rsidR="006652AA" w:rsidRPr="0055220E">
              <w:rPr>
                <w:rFonts w:ascii="Times New Roman" w:hAnsi="Times New Roman" w:cs="Times New Roman"/>
              </w:rPr>
              <w:t xml:space="preserve">, </w:t>
            </w:r>
            <w:r w:rsidR="006652AA">
              <w:rPr>
                <w:rFonts w:ascii="Times New Roman" w:hAnsi="Times New Roman" w:cs="Times New Roman"/>
              </w:rPr>
              <w:t xml:space="preserve">ул. </w:t>
            </w:r>
            <w:r w:rsidR="006652AA" w:rsidRPr="0055220E">
              <w:rPr>
                <w:rFonts w:ascii="Times New Roman" w:hAnsi="Times New Roman" w:cs="Times New Roman"/>
              </w:rPr>
              <w:t>Октябрьская</w:t>
            </w:r>
            <w:r w:rsidR="006652AA">
              <w:rPr>
                <w:rFonts w:ascii="Times New Roman" w:hAnsi="Times New Roman" w:cs="Times New Roman"/>
              </w:rPr>
              <w:t>:</w:t>
            </w:r>
            <w:r w:rsidR="006652AA" w:rsidRPr="0055220E">
              <w:rPr>
                <w:rFonts w:ascii="Times New Roman" w:hAnsi="Times New Roman" w:cs="Times New Roman"/>
              </w:rPr>
              <w:t xml:space="preserve">  четная сторона с № 2 по № 2</w:t>
            </w:r>
            <w:r w:rsidR="006652AA">
              <w:rPr>
                <w:rFonts w:ascii="Times New Roman" w:hAnsi="Times New Roman" w:cs="Times New Roman"/>
              </w:rPr>
              <w:t>6</w:t>
            </w:r>
            <w:r w:rsidR="006652AA" w:rsidRPr="0055220E">
              <w:rPr>
                <w:rFonts w:ascii="Times New Roman" w:hAnsi="Times New Roman" w:cs="Times New Roman"/>
              </w:rPr>
              <w:t>, нечетная сторона  с № 3 по №5</w:t>
            </w:r>
            <w:r w:rsidR="006652AA">
              <w:rPr>
                <w:rFonts w:ascii="Times New Roman" w:hAnsi="Times New Roman" w:cs="Times New Roman"/>
              </w:rPr>
              <w:t>, ул. Изумрудная, ул. Западная, ул. Байкальская, ул. Бильчирская,</w:t>
            </w:r>
            <w:r w:rsidR="006652AA" w:rsidRPr="0055220E">
              <w:rPr>
                <w:rFonts w:ascii="Times New Roman" w:hAnsi="Times New Roman" w:cs="Times New Roman"/>
              </w:rPr>
              <w:t xml:space="preserve">  </w:t>
            </w:r>
            <w:r w:rsidR="006652AA" w:rsidRPr="009C3EB2">
              <w:rPr>
                <w:rFonts w:ascii="Times New Roman" w:hAnsi="Times New Roman" w:cs="Times New Roman"/>
              </w:rPr>
              <w:t>ул. Осенняя, ул.</w:t>
            </w:r>
            <w:r w:rsidR="006652AA">
              <w:rPr>
                <w:rFonts w:ascii="Times New Roman" w:hAnsi="Times New Roman" w:cs="Times New Roman"/>
              </w:rPr>
              <w:t xml:space="preserve"> </w:t>
            </w:r>
            <w:r w:rsidR="006652AA" w:rsidRPr="009C3EB2">
              <w:rPr>
                <w:rFonts w:ascii="Times New Roman" w:hAnsi="Times New Roman" w:cs="Times New Roman"/>
              </w:rPr>
              <w:t>Хвойная.</w:t>
            </w:r>
          </w:p>
        </w:tc>
        <w:tc>
          <w:tcPr>
            <w:tcW w:w="2250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1779</w:t>
            </w:r>
          </w:p>
        </w:tc>
        <w:tc>
          <w:tcPr>
            <w:tcW w:w="1861" w:type="dxa"/>
          </w:tcPr>
          <w:p w:rsidR="00613203" w:rsidRDefault="00613203" w:rsidP="00A84E0E">
            <w:pPr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+ 6 %</w:t>
            </w:r>
          </w:p>
        </w:tc>
      </w:tr>
    </w:tbl>
    <w:p w:rsidR="00B732D7" w:rsidRDefault="00B732D7" w:rsidP="00A84E0E">
      <w:pPr>
        <w:ind w:right="180"/>
        <w:jc w:val="center"/>
        <w:rPr>
          <w:rFonts w:ascii="Times New Roman" w:eastAsia="Times New Roman" w:hAnsi="Times New Roman" w:cs="Times New Roman"/>
          <w:color w:val="auto"/>
        </w:rPr>
      </w:pPr>
    </w:p>
    <w:p w:rsidR="00A84E0E" w:rsidRPr="00B732D7" w:rsidRDefault="00A84E0E" w:rsidP="00011331">
      <w:pPr>
        <w:tabs>
          <w:tab w:val="left" w:pos="993"/>
        </w:tabs>
        <w:jc w:val="both"/>
        <w:outlineLvl w:val="1"/>
        <w:rPr>
          <w:rFonts w:ascii="Times New Roman" w:hAnsi="Times New Roman" w:cs="Times New Roman"/>
          <w:b/>
        </w:rPr>
      </w:pPr>
    </w:p>
    <w:p w:rsidR="00A84E0E" w:rsidRPr="00613203" w:rsidRDefault="00A84E0E" w:rsidP="00613203">
      <w:pPr>
        <w:tabs>
          <w:tab w:val="left" w:pos="713"/>
          <w:tab w:val="left" w:pos="5236"/>
        </w:tabs>
        <w:ind w:left="400"/>
        <w:jc w:val="both"/>
        <w:outlineLvl w:val="1"/>
        <w:rPr>
          <w:rFonts w:ascii="Times New Roman" w:eastAsia="Times New Roman" w:hAnsi="Times New Roman" w:cs="Times New Roman"/>
          <w:color w:val="auto"/>
        </w:rPr>
      </w:pPr>
      <w:bookmarkStart w:id="3" w:name="bookmark6"/>
      <w:r w:rsidRPr="00613203">
        <w:rPr>
          <w:rFonts w:ascii="Times New Roman" w:hAnsi="Times New Roman" w:cs="Times New Roman"/>
        </w:rPr>
        <w:tab/>
      </w:r>
      <w:bookmarkEnd w:id="3"/>
    </w:p>
    <w:p w:rsidR="00C95533" w:rsidRPr="00A84E0E" w:rsidRDefault="00C95533" w:rsidP="00A84E0E">
      <w:pPr>
        <w:tabs>
          <w:tab w:val="left" w:pos="3705"/>
        </w:tabs>
        <w:rPr>
          <w:rFonts w:ascii="Times New Roman" w:hAnsi="Times New Roman" w:cs="Times New Roman"/>
        </w:rPr>
      </w:pPr>
    </w:p>
    <w:sectPr w:rsidR="00C95533" w:rsidRPr="00A84E0E" w:rsidSect="00011331">
      <w:pgSz w:w="11906" w:h="16838"/>
      <w:pgMar w:top="539" w:right="566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61F51"/>
    <w:multiLevelType w:val="multilevel"/>
    <w:tmpl w:val="18221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9464B5"/>
    <w:multiLevelType w:val="multilevel"/>
    <w:tmpl w:val="84040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0E"/>
    <w:rsid w:val="00011331"/>
    <w:rsid w:val="000932B8"/>
    <w:rsid w:val="001263C0"/>
    <w:rsid w:val="001542AF"/>
    <w:rsid w:val="001A56CE"/>
    <w:rsid w:val="002A36FE"/>
    <w:rsid w:val="00302DA2"/>
    <w:rsid w:val="003B276E"/>
    <w:rsid w:val="00445C69"/>
    <w:rsid w:val="00613203"/>
    <w:rsid w:val="006652AA"/>
    <w:rsid w:val="009127A2"/>
    <w:rsid w:val="00936AB0"/>
    <w:rsid w:val="009D48E2"/>
    <w:rsid w:val="009E337A"/>
    <w:rsid w:val="00A84E0E"/>
    <w:rsid w:val="00AE7DE3"/>
    <w:rsid w:val="00B732D7"/>
    <w:rsid w:val="00BA17A4"/>
    <w:rsid w:val="00C95533"/>
    <w:rsid w:val="00DA7C6D"/>
    <w:rsid w:val="00E6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87501-49CF-4DDE-983A-E59F4C93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4E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84E0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84E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84E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84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A84E0E"/>
    <w:pPr>
      <w:shd w:val="clear" w:color="auto" w:fill="FFFFFF"/>
      <w:spacing w:line="319" w:lineRule="exact"/>
      <w:jc w:val="center"/>
      <w:outlineLvl w:val="0"/>
    </w:pPr>
    <w:rPr>
      <w:rFonts w:ascii="Arial" w:eastAsia="Arial" w:hAnsi="Arial" w:cs="Arial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A84E0E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A84E0E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A84E0E"/>
    <w:pPr>
      <w:shd w:val="clear" w:color="auto" w:fill="FFFFFF"/>
      <w:spacing w:before="420" w:after="300" w:line="271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Основной текст (2)_"/>
    <w:basedOn w:val="a0"/>
    <w:link w:val="20"/>
    <w:rsid w:val="00A84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4E0E"/>
    <w:pPr>
      <w:shd w:val="clear" w:color="auto" w:fill="FFFFFF"/>
      <w:spacing w:after="540" w:line="278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39"/>
    <w:rsid w:val="00B73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7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27A2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 D</cp:lastModifiedBy>
  <cp:revision>19</cp:revision>
  <cp:lastPrinted>2023-03-24T06:30:00Z</cp:lastPrinted>
  <dcterms:created xsi:type="dcterms:W3CDTF">2023-03-24T02:14:00Z</dcterms:created>
  <dcterms:modified xsi:type="dcterms:W3CDTF">2008-12-31T17:47:00Z</dcterms:modified>
</cp:coreProperties>
</file>