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3D45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22.02.2022 №74</w:t>
      </w:r>
      <w:r w:rsidR="00466C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28.03.2022 №116</w:t>
      </w:r>
      <w:r w:rsidR="00A703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13.05.2022 №185, от 23.05.2022 №204</w:t>
      </w:r>
      <w:r w:rsidR="00A906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24.10.2022 №385, от 21.11.2022 №448</w:t>
      </w:r>
      <w:r w:rsidR="002545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16.12.2022 №503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Default="00C96163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Pr="00C96163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8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2015-2017 годы и на период до 2024 года</w:t>
            </w:r>
          </w:p>
        </w:tc>
      </w:tr>
      <w:tr w:rsidR="00466CD2" w:rsidRPr="00466CD2" w:rsidTr="002C0909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19"/>
              <w:gridCol w:w="1371"/>
              <w:gridCol w:w="787"/>
              <w:gridCol w:w="931"/>
              <w:gridCol w:w="1289"/>
              <w:gridCol w:w="744"/>
            </w:tblGrid>
            <w:tr w:rsidR="00466CD2" w:rsidRPr="00466CD2" w:rsidTr="002C0909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254595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21287,80014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254595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429,20014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466CD2" w:rsidRPr="00466CD2" w:rsidTr="002C0909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2024 году: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уровня 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  й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безработицы до 6,7%;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отчетный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654"/>
        <w:gridCol w:w="1049"/>
      </w:tblGrid>
      <w:tr w:rsidR="00C73C86" w:rsidRPr="000224D3" w:rsidTr="00C73C86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6" w:type="dxa"/>
            <w:gridSpan w:val="10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C73C86" w:rsidRPr="000224D3" w:rsidTr="00C73C86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A90699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A90699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A90699" w:rsidP="00A9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A90699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2C0909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2C0909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я отдыха и развития рядом с домом (благоустройство дворовых территорий)</w:t>
            </w:r>
          </w:p>
        </w:tc>
      </w:tr>
      <w:tr w:rsidR="00466CD2" w:rsidRPr="00B51E99" w:rsidTr="002C0909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2C0909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2024 г.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2C0909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2C0909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2C0909">
        <w:trPr>
          <w:trHeight w:val="492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A3378E">
        <w:rPr>
          <w:rFonts w:ascii="Times New Roman" w:hAnsi="Times New Roman"/>
          <w:sz w:val="24"/>
          <w:szCs w:val="28"/>
        </w:rPr>
        <w:t>ств дл</w:t>
      </w:r>
      <w:proofErr w:type="gramEnd"/>
      <w:r w:rsidRPr="00A3378E">
        <w:rPr>
          <w:rFonts w:ascii="Times New Roman" w:hAnsi="Times New Roman"/>
          <w:sz w:val="24"/>
          <w:szCs w:val="28"/>
        </w:rPr>
        <w:t>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10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2C0909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2C0909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2C0909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инвестиционного потенциала» за счет всех источников финансирования</w:t>
      </w: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</w:tblGrid>
      <w:tr w:rsidR="00466CD2" w:rsidRPr="00B51E99" w:rsidTr="002C090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15" w:type="dxa"/>
            <w:gridSpan w:val="10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466CD2" w:rsidRPr="00B51E99" w:rsidTr="002C090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Основное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проектов в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A703AA" w:rsidP="0056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3378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152FB" w:rsidRDefault="005152FB">
      <w:pPr>
        <w:sectPr w:rsidR="005152FB" w:rsidSect="005152FB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25459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264,44614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25459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264,44614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52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5152FB" w:rsidRDefault="005152FB" w:rsidP="005152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585" w:type="dxa"/>
        <w:jc w:val="center"/>
        <w:tblInd w:w="1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6"/>
        <w:gridCol w:w="2596"/>
        <w:gridCol w:w="708"/>
        <w:gridCol w:w="993"/>
        <w:gridCol w:w="992"/>
        <w:gridCol w:w="822"/>
        <w:gridCol w:w="1134"/>
        <w:gridCol w:w="992"/>
        <w:gridCol w:w="851"/>
        <w:gridCol w:w="708"/>
        <w:gridCol w:w="709"/>
        <w:gridCol w:w="976"/>
      </w:tblGrid>
      <w:tr w:rsidR="005152FB" w:rsidRPr="000224D3" w:rsidTr="005152FB">
        <w:trPr>
          <w:trHeight w:val="504"/>
          <w:jc w:val="center"/>
        </w:trPr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885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2268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254595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264,44614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254595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264,44614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trHeight w:val="200"/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254595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264,44614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254595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264,44614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Default="00C96163"/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1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c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3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4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2024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EA3CF0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A3C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</w:r>
                  <w:r w:rsidR="00EA3CF0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2024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6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созданию в контролирующих, надзорных организациях и организациях, выдающих разрешительные документы на право ведения бизнеса, межведомственных комиссий по рассмотрению обращений предпринимателей и снижению административных барьеров;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 и организаций инфраструктуры поддержки субъектов малого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781AAA">
        <w:rPr>
          <w:rFonts w:ascii="Times New Roman" w:eastAsia="Calibri" w:hAnsi="Times New Roman" w:cs="Times New Roman"/>
          <w:sz w:val="24"/>
          <w:szCs w:val="24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7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имущественная поддержка субъектов малого предпринимательства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Pr="002F1602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8" w:history="1">
        <w:r w:rsidRPr="002F1602">
          <w:rPr>
            <w:rStyle w:val="affffc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96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9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EA3CF0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EA3CF0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EA3CF0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EA3CF0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3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  <w:gridCol w:w="851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EA3CF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EA3CF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EA3CF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EA3CF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709"/>
      </w:tblGrid>
      <w:tr w:rsidR="00466CD2" w:rsidRPr="006535FE" w:rsidTr="002C0909">
        <w:tc>
          <w:tcPr>
            <w:tcW w:w="52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c>
          <w:tcPr>
            <w:tcW w:w="52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4735,99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3133,9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37326,8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41981,4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44590,6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50730,5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1281,533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1487,984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1329,682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1380,6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49,429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136,563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709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CD2" w:rsidRPr="006535FE" w:rsidTr="002C0909">
        <w:trPr>
          <w:trHeight w:val="284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7,302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  <w:tr w:rsidR="00466CD2" w:rsidRPr="006535FE" w:rsidTr="002C0909">
        <w:trPr>
          <w:trHeight w:val="515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9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</w:tbl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90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835"/>
        <w:gridCol w:w="3418"/>
        <w:gridCol w:w="851"/>
        <w:gridCol w:w="850"/>
        <w:gridCol w:w="851"/>
        <w:gridCol w:w="567"/>
        <w:gridCol w:w="708"/>
        <w:gridCol w:w="993"/>
        <w:gridCol w:w="708"/>
        <w:gridCol w:w="1260"/>
        <w:gridCol w:w="701"/>
        <w:gridCol w:w="788"/>
      </w:tblGrid>
      <w:tr w:rsidR="00EB61E1" w:rsidRPr="00EB61E1" w:rsidTr="00EB61E1">
        <w:trPr>
          <w:trHeight w:val="57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7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EB61E1" w:rsidRPr="00EB61E1" w:rsidTr="00EB61E1">
        <w:trPr>
          <w:trHeight w:val="354"/>
          <w:jc w:val="center"/>
        </w:trPr>
        <w:tc>
          <w:tcPr>
            <w:tcW w:w="1960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</w:tr>
      <w:tr w:rsidR="00EB61E1" w:rsidRPr="00EB61E1" w:rsidTr="00EB61E1">
        <w:trPr>
          <w:trHeight w:val="3096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EB61E1">
              <w:t xml:space="preserve">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254595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429,20014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промышленности, торговли,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питания и сферы услуг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 МО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2.5.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254595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264,44614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254595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264,44614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физических лиц, не являющихся индивидуальными предпринимателями 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применяющих специальный налоговый режим «Налог на профессиональный доход»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«Хоринский район», 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МКУ «Управление культуры МО «Хоринский район», сельские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5B79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306"/>
        <w:gridCol w:w="708"/>
        <w:gridCol w:w="709"/>
        <w:gridCol w:w="851"/>
        <w:gridCol w:w="708"/>
        <w:gridCol w:w="851"/>
        <w:gridCol w:w="709"/>
        <w:gridCol w:w="986"/>
        <w:gridCol w:w="992"/>
        <w:gridCol w:w="850"/>
        <w:gridCol w:w="993"/>
      </w:tblGrid>
      <w:tr w:rsidR="00EB61E1" w:rsidRPr="00EB61E1" w:rsidTr="005F7B08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B61E1" w:rsidRPr="00EB61E1" w:rsidTr="005F7B08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254595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21287,80014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254595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429,20014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A703AA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</w:t>
            </w:r>
            <w:r w:rsidR="005601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«Развитие механизмов реализации инвестиционных проектов в приоритетных областях на территории муниципального </w:t>
            </w: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образования «Хоринский район»»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A703AA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254595" w:rsidP="0025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</w:t>
            </w:r>
            <w:r w:rsidR="00AE5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A111C3" w:rsidRDefault="00AE5B79" w:rsidP="00EE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254595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264,44614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AE5B79">
        <w:trPr>
          <w:jc w:val="center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254595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264,44614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254595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264,44614</w:t>
            </w:r>
            <w:bookmarkStart w:id="8" w:name="_GoBack"/>
            <w:bookmarkEnd w:id="8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A7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организационно-экономических и правовых условий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5B79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E5B79" w:rsidRPr="00EB61E1" w:rsidRDefault="00AE5B79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B" w:rsidRDefault="005152FB">
      <w:pPr>
        <w:spacing w:after="0" w:line="240" w:lineRule="auto"/>
      </w:pPr>
      <w:r>
        <w:separator/>
      </w:r>
    </w:p>
  </w:endnote>
  <w:endnote w:type="continuationSeparator" w:id="0">
    <w:p w:rsidR="005152FB" w:rsidRDefault="005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Default="005152FB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B" w:rsidRDefault="005152FB">
      <w:pPr>
        <w:spacing w:after="0" w:line="240" w:lineRule="auto"/>
      </w:pPr>
      <w:r>
        <w:separator/>
      </w:r>
    </w:p>
  </w:footnote>
  <w:footnote w:type="continuationSeparator" w:id="0">
    <w:p w:rsidR="005152FB" w:rsidRDefault="005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B6E6F"/>
    <w:rsid w:val="001E1811"/>
    <w:rsid w:val="00211593"/>
    <w:rsid w:val="00254595"/>
    <w:rsid w:val="002D795C"/>
    <w:rsid w:val="002E0E88"/>
    <w:rsid w:val="003A53CD"/>
    <w:rsid w:val="003B0317"/>
    <w:rsid w:val="003C1621"/>
    <w:rsid w:val="003D451C"/>
    <w:rsid w:val="00443D11"/>
    <w:rsid w:val="00466CD2"/>
    <w:rsid w:val="00476AE4"/>
    <w:rsid w:val="004C6D76"/>
    <w:rsid w:val="00502A35"/>
    <w:rsid w:val="005152FB"/>
    <w:rsid w:val="00540FE1"/>
    <w:rsid w:val="00560100"/>
    <w:rsid w:val="005909E9"/>
    <w:rsid w:val="005A7195"/>
    <w:rsid w:val="005B14EB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72FE1"/>
    <w:rsid w:val="007B484E"/>
    <w:rsid w:val="007C74C4"/>
    <w:rsid w:val="00837C92"/>
    <w:rsid w:val="008A6AF3"/>
    <w:rsid w:val="008C2D05"/>
    <w:rsid w:val="009836A3"/>
    <w:rsid w:val="009C546B"/>
    <w:rsid w:val="009F29B6"/>
    <w:rsid w:val="00A703AA"/>
    <w:rsid w:val="00A90699"/>
    <w:rsid w:val="00AA0B82"/>
    <w:rsid w:val="00AA774C"/>
    <w:rsid w:val="00AE5B79"/>
    <w:rsid w:val="00B550F5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3808"/>
    <w:rsid w:val="00DB1CB7"/>
    <w:rsid w:val="00DB7B34"/>
    <w:rsid w:val="00DD6333"/>
    <w:rsid w:val="00E40A37"/>
    <w:rsid w:val="00E55628"/>
    <w:rsid w:val="00EA3CF0"/>
    <w:rsid w:val="00EB24A9"/>
    <w:rsid w:val="00EB61E1"/>
    <w:rsid w:val="00EC43CC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8918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83</Pages>
  <Words>20084</Words>
  <Characters>114482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21</cp:revision>
  <cp:lastPrinted>2020-07-15T03:18:00Z</cp:lastPrinted>
  <dcterms:created xsi:type="dcterms:W3CDTF">2020-11-18T03:04:00Z</dcterms:created>
  <dcterms:modified xsi:type="dcterms:W3CDTF">2022-12-23T06:40:00Z</dcterms:modified>
</cp:coreProperties>
</file>